
<file path=[Content_Types].xml><?xml version="1.0" encoding="utf-8"?>
<Types xmlns="http://schemas.openxmlformats.org/package/2006/content-types">
  <Default Extension="xml" ContentType="application/vnd.openxmlformats-officedocument.wordprocessingml.styles+xml"/>
  <Default Extension="jpg" ContentType="image/jpg"/>
  <Default Extension="rels" ContentType="application/vnd.openxmlformats-package.relationships+xml"/>
  <Override PartName="/word/settings.xml" ContentType="application/vnd.openxmlformats-officedocument.wordprocessingml.settings+xml"/>
  <Override PartName="/word/document.xml" ContentType="application/vnd.openxmlformats-officedocument.wordprocessingml.document.main+xml"/>
  <Override PartName="/word/header1.xml" ContentType="application/vnd.openxmlformats-officedocument.wordprocessingml.header+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r="http://schemas.openxmlformats.org/officeDocument/2006/relationships" xmlns:m="http://schemas.openxmlformats.org/officeDocument/2006/math" xmlns:w="http://schemas.openxmlformats.org/wordprocessingml/2006/main">
  <w:body>
    <w:p>
      <w:pPr>
        <w:jc w:val="center"/>
      </w:pPr>
      <w:r>
        <w:t>Қазақстан Республикасы Ғылым және жоғары білім министрлігі</w:t>
      </w:r>
    </w:p>
    <w:p/>
    <w:p>
      <w:pPr>
        <w:jc w:val="center"/>
      </w:pPr>
      <w:r>
        <w:t>Д.Серікбаев атындағы ШҚТУ</w:t>
      </w:r>
    </w:p>
    <w:p/>
    <w:p/>
    <w:p>
      <w:pPr>
        <w:ind w:left="6100"/>
      </w:pPr>
      <w:r>
        <w:t>БЕКІТЕМІН:</w:t>
      </w:r>
    </w:p>
    <w:p>
      <w:pPr>
        <w:ind w:left="6100"/>
      </w:pPr>
      <w:r>
        <w:t>БМ деканы:</w:t>
      </w:r>
    </w:p>
    <w:p>
      <w:pPr>
        <w:ind w:left="6100"/>
      </w:pPr>
      <w:r>
        <w:t/>
      </w:r>
    </w:p>
    <w:p>
      <w:pPr>
        <w:ind w:left="6100"/>
      </w:pPr>
      <w:r>
        <w:t>_____________ </w:t>
      </w:r>
      <w:r>
        <w:t>2028</w:t>
      </w:r>
      <w:r>
        <w:t xml:space="preserve"> ж.</w:t>
      </w:r>
    </w:p>
    <w:p/>
    <w:p/>
    <w:p/>
    <w:p/>
    <w:p/>
    <w:p/>
    <w:p/>
    <w:p/>
    <w:p/>
    <w:p>
      <w:pPr>
        <w:jc w:val="center"/>
      </w:pPr>
      <w:r>
        <w:rPr>
          <w:b w:val="1"/>
        </w:rPr>
        <w:t>ТӘУЕКЕЛ-МЕНЕДЖМЕНТ</w:t>
      </w:r>
    </w:p>
    <w:p>
      <w:pPr>
        <w:jc w:val="center"/>
      </w:pPr>
      <w:r>
        <w:t>Жұмыс оқу бағдарламасы (силлабус)</w:t>
      </w:r>
    </w:p>
    <w:p/>
    <w:p/>
    <w:p/>
    <w:p/>
    <w:p>
      <w:r>
        <w:t>Білім беру бағдарламасы: 6B04103 Өндіріс жүйелерін бизнес-басқару</w:t>
      </w:r>
    </w:p>
    <w:p>
      <w:r>
        <w:t>Пәндерінің коды: RM4308</w:t>
      </w:r>
    </w:p>
    <w:p>
      <w:r>
        <w:t>Кредиттер саны: 3</w:t>
      </w:r>
    </w:p>
    <w:p>
      <w:r>
        <w:t>Цикл: КП</w:t>
      </w:r>
    </w:p>
    <w:p>
      <w:r>
        <w:t>Компонент: ТК</w:t>
      </w:r>
    </w:p>
    <w:p/>
    <w:p/>
    <w:p/>
    <w:p/>
    <w:p/>
    <w:p/>
    <w:p/>
    <w:p/>
    <w:p/>
    <w:p/>
    <w:p/>
    <w:p/>
    <w:p/>
    <w:p>
      <w:pPr>
        <w:jc w:val="center"/>
      </w:pPr>
      <w:r>
        <w:t>Өскемен,</w:t>
      </w:r>
      <w:r>
        <w:t xml:space="preserve"> 2028</w:t>
      </w:r>
      <w:r>
        <w:br w:type="page"/>
      </w:r>
    </w:p>
    <w:p>
      <w:pPr>
        <w:ind w:firstLine="567"/>
      </w:pPr>
      <w:r>
        <w:t>Жұмыс оқу жоспары (силлабус) Жоғары және жоғары оқу орнынан кейінгі білімнің мемлекеттік жалпыға міндетті стандарттары (Қазақстан Республикасы Ғылым және жоғары білім министрінің 2022 жылғы 20 шілдедегі № 2 бұйрығы), қағидалар негізінде "БМ"-де әзірленді. Білім берудің кредиттік технологиясы бойынша оқу процесін ұйымдастыруға арналған (Қазақстан Республикасы Білім және ғылым министрінің 2011 жылғы 20 сәуірдегі № 152 бұйрығы), Білім беру бағдарламасы, оқу жұмыс жоспары, элективті пәндер каталогы.</w:t>
      </w:r>
    </w:p>
    <w:p/>
    <w:p>
      <w:r>
        <w:t>Cапаны қамтамасыз ету жөніндегі комиссиясы мақұлдаған</w:t>
      </w:r>
    </w:p>
    <w:p/>
    <w:p>
      <w:pPr>
        <w:tabs>
          <w:tab w:val="left" w:pos="6500"/>
        </w:tabs>
      </w:pPr>
      <w:r>
        <w:t>Төрағасы</w:t>
        <w:tab/>
        <w:r>
          <w:t>Жанабаева А.С.</w:t>
        </w:r>
      </w:r>
    </w:p>
    <w:p>
      <w:r>
        <w:t xml:space="preserve">Күні    </w:t>
      </w:r>
      <w:r>
        <w:t>26.08.2026</w:t>
      </w:r>
      <w:r>
        <w:t xml:space="preserve"> ж.   хаттама </w:t>
      </w:r>
      <w:r>
        <w:t>№1</w:t>
      </w:r>
    </w:p>
    <w:p/>
    <w:p>
      <w:pPr>
        <w:tabs>
          <w:tab w:val="left" w:pos="6500"/>
        </w:tabs>
        <w:ind w:left="6500" w:hanging="6500"/>
        <w:jc w:val="left"/>
      </w:pPr>
      <w:r>
        <w:t>Оқу бағдарламасының басшысы</w:t>
        <w:tab/>
      </w:r>
      <w:r>
        <w:t>Варавин Е.В.</w:t>
      </w:r>
    </w:p>
    <w:p>
      <w:pPr>
        <w:tabs>
          <w:tab w:val="left" w:pos="6500"/>
        </w:tabs>
        <w:ind w:left="6500" w:hanging="6500"/>
        <w:jc w:val="left"/>
      </w:pPr>
      <w:r>
        <w:tab/>
      </w:r>
      <w:r>
        <w:t>6B04103</w:t>
      </w:r>
    </w:p>
    <w:p/>
    <w:p>
      <w:pPr>
        <w:tabs>
          <w:tab w:val="left" w:pos="6500"/>
        </w:tabs>
        <w:ind w:left="6500" w:hanging="6500"/>
        <w:jc w:val="left"/>
      </w:pPr>
      <w:r>
        <w:t>Кітапхана қызметкері</w:t>
        <w:tab/>
      </w:r>
      <w:r>
        <w:t>Бакишева М.Ж.</w:t>
      </w:r>
    </w:p>
    <w:p/>
    <w:p>
      <w:pPr>
        <w:tabs>
          <w:tab w:val="left" w:pos="6500"/>
        </w:tabs>
        <w:ind w:left="6500" w:hanging="6500"/>
        <w:jc w:val="left"/>
      </w:pPr>
      <w:r>
        <w:t>Әзірлеген</w:t>
        <w:tab/>
      </w:r>
      <w:r>
        <w:t>Казыкенов А.Ж.</w:t>
      </w:r>
    </w:p>
    <w:p>
      <w:pPr>
        <w:tabs>
          <w:tab w:val="left" w:pos="6500"/>
        </w:tabs>
        <w:ind w:left="6500" w:hanging="6500"/>
        <w:jc w:val="left"/>
      </w:pPr>
      <w:r>
        <w:tab/>
      </w:r>
      <w:r>
        <w:t>Оқытушы</w:t>
      </w:r>
    </w:p>
    <w:p/>
    <w:p/>
    <w:p>
      <w:r>
        <w:br w:type="page"/>
      </w:r>
    </w:p>
    <w:p>
      <w:pPr>
        <w:jc w:val="center"/>
      </w:pPr>
      <w:r>
        <w:rPr>
          <w:b w:val="1"/>
        </w:rPr>
        <w:t>1 ПӘННІҢ СИПАТТАМАСЫ, ОНЫҢ ОҚУ ҮРДІСІНДЕГІ ОРНЫ</w:t>
      </w:r>
    </w:p>
    <w:p>
      <w:pPr>
        <w:jc w:val="center"/>
      </w:pPr>
      <w:r>
        <w:rPr>
          <w:b w:val="1"/>
        </w:rPr>
        <w:t>1.1 Пәннің қысқаша сипаттамасы</w:t>
      </w:r>
    </w:p>
    <w:p/>
    <w:p>
      <w:pPr>
        <w:ind w:firstLine="567"/>
      </w:pPr>
      <w:r>
        <w:t>Осы курсты зерделеу нәтижесінде студенттер әр түрлі көздерден ауытқулар туралы мәліметтер жинау, тәуекелдік оқиғаларға талдау жүргізу, тәуекелдік кірістілік координаттарындағы технологиялық компанияның жағдайын жақсартуға бағытталған бірыңғай корпоративтік саясаттың бөлігі ретінде тәуекелге қарсы іс-шаралар кешенін құру туралы білім мен дағдыларды алады.</w:t>
      </w:r>
    </w:p>
    <w:p/>
    <w:p>
      <w:pPr>
        <w:jc w:val="center"/>
      </w:pPr>
      <w:r>
        <w:rPr>
          <w:b w:val="1"/>
        </w:rPr>
        <w:t>1.2 Пәнді оқытудың мақсаты мен міндеттері</w:t>
      </w:r>
    </w:p>
    <w:p/>
    <w:p>
      <w:pPr>
        <w:ind w:firstLine="567"/>
      </w:pPr>
      <w:r>
        <w:t>Пәнді оқытудың мақсаты:</w:t>
      </w:r>
    </w:p>
    <w:p/>
    <w:p>
      <w:pPr>
        <w:ind w:firstLine="567"/>
      </w:pPr>
      <w:r>
        <w:t>Пәнді оқытудың міндеттері:</w:t>
      </w:r>
    </w:p>
    <w:p/>
    <w:p>
      <w:pPr>
        <w:jc w:val="center"/>
      </w:pPr>
      <w:r>
        <w:rPr>
          <w:b w:val="1"/>
        </w:rPr>
        <w:t>1.3 Тұрақты дамудың мақсаттары</w:t>
      </w:r>
    </w:p>
    <w:p/>
    <w:p/>
    <w:p>
      <w:pPr>
        <w:jc w:val="center"/>
      </w:pPr>
      <w:r>
        <w:rPr>
          <w:b w:val="1"/>
        </w:rPr>
        <w:t>1.4 Оқыту қортындысы</w:t>
      </w:r>
    </w:p>
    <w:p/>
    <w:p>
      <w:pPr>
        <w:ind w:firstLine="567"/>
      </w:pPr>
      <w:r>
        <w:t>Оқыту нәтижелері Дублиндік дескрипторлар негізінде білім берудің тиісті деңгейіндегі құзыреттер арқылы көрсетіледі.</w:t>
      </w:r>
    </w:p>
    <w:p/>
    <w:tbl>
      <w:tblPr>
        <w:tblCellMar>
          <w:left w:type="dxa" w:w="25"/>
          <w:top w:type="dxa" w:w="25"/>
          <w:right w:type="dxa" w:w="25"/>
          <w:bottom w:type="dxa" w:w="25"/>
        </w:tblCellMar>
        <w:tblBorders>
          <w:insideH w:val="thick"/>
          <w:insideV w:val="thick"/>
          <w:left w:val="thick"/>
          <w:right w:val="thick"/>
          <w:top w:val="thick"/>
          <w:bottom w:val="thick"/>
        </w:tblBorders>
        <w:tblW w:type="pct" w:w="5000"/>
      </w:tblPr>
      <w:tblGrid/>
      <w:tr>
        <w:trPr>
          <w:tblHeader w:val="1"/>
        </w:trPr>
        <w:tc>
          <w:tcPr>
            <w:vMerge w:val="restart"/>
            <w:tcW w:w="1119" w:type="pct"/>
          </w:tcPr>
          <w:p>
            <w:pPr>
              <w:jc w:val="center"/>
            </w:pPr>
            <w:r>
              <w:t>Қалыптасатын негізгі құзыреттер</w:t>
            </w:r>
          </w:p>
        </w:tc>
        <w:tc>
          <w:tcPr>
            <w:gridSpan w:val="2"/>
          </w:tcPr>
          <w:p>
            <w:pPr>
              <w:jc w:val="center"/>
            </w:pPr>
            <w:r>
              <w:t>Оқыту нәтижелері (түйінді құзыреттілік бірліктері)</w:t>
            </w:r>
          </w:p>
        </w:tc>
      </w:tr>
      <w:tr>
        <w:trPr>
          <w:tblHeader w:val="1"/>
        </w:trPr>
        <w:tc>
          <w:tcPr>
            <w:vMerge w:val="continue"/>
          </w:tcPr>
          <w:p/>
        </w:tc>
        <w:tc>
          <w:tcPr>
            <w:tcW w:w="2015" w:type="pct"/>
          </w:tcPr>
          <w:p>
            <w:pPr>
              <w:jc w:val="center"/>
            </w:pPr>
            <w:r>
              <w:t>білім бағдарламасы</w:t>
            </w:r>
          </w:p>
        </w:tc>
        <w:tc>
          <w:tcPr>
            <w:tcW w:w="1866" w:type="pct"/>
          </w:tcPr>
          <w:p>
            <w:pPr>
              <w:jc w:val="center"/>
            </w:pPr>
            <w:r>
              <w:t>пәндер</w:t>
            </w:r>
          </w:p>
        </w:tc>
      </w:tr>
      <w:tr>
        <w:tc>
          <w:tcPr>
            <w:vMerge w:val="restart"/>
          </w:tcPr>
          <w:p>
            <w:pPr>
              <w:jc w:val="center"/>
            </w:pPr>
            <w:r>
              <w:rPr>
                <w:sz w:val="20"/>
              </w:rPr>
              <w:t>КК8 - Ұйым қызметін жедел басқаруды жүзеге асыру мүмкіндігі</w:t>
            </w:r>
          </w:p>
        </w:tc>
        <w:tc>
          <w:p>
            <w:r>
              <w:rPr>
                <w:sz w:val="20"/>
              </w:rPr>
              <w:t>РО14 - Кәсіпорынның қаржы менеджменті саласындағы шешімдер қабылдау үшін алған білімдерін пайдалана білу, тәуекел жағдайларын шешуге кәсіби түрде жақындау</w:t>
            </w:r>
          </w:p>
        </w:tc>
        <w:tc>
          <w:tcPr>
            <w:vMerge w:val="restart"/>
          </w:tcPr>
          <w:p/>
          <w:p/>
        </w:tc>
      </w:tr>
    </w:tbl>
    <w:p/>
    <w:p>
      <w:pPr>
        <w:jc w:val="center"/>
      </w:pPr>
      <w:r>
        <w:rPr>
          <w:b w:val="1"/>
        </w:rPr>
        <w:t>1.5 Пәнді игеруде қолданылатын білім беру технологиялары</w:t>
      </w:r>
    </w:p>
    <w:p/>
    <w:p>
      <w:pPr>
        <w:jc w:val="center"/>
      </w:pPr>
      <w:r>
        <w:rPr>
          <w:b w:val="1"/>
        </w:rPr>
        <w:t>1.5.1 Заманауи білім беру технологиялары</w:t>
      </w:r>
    </w:p>
    <w:p/>
    <w:p>
      <w:pPr>
        <w:ind w:firstLine="567"/>
      </w:pPr>
      <w:r>
        <w:t>Оқу сабақтарын өткізу кезінде мынадай білім беру технологияларын пайдалану көзделеді</w:t>
      </w:r>
    </w:p>
    <w:p/>
    <w:p/>
    <w:p>
      <w:pPr>
        <w:jc w:val="center"/>
      </w:pPr>
      <w:r>
        <w:rPr>
          <w:b w:val="1"/>
        </w:rPr>
        <w:t>1.5.2 Бейімделген білім беру технологиялары (инклюзивті оқыту)</w:t>
      </w:r>
    </w:p>
    <w:p/>
    <w:p>
      <w:pPr>
        <w:ind w:firstLine="567"/>
      </w:pPr>
      <w:r>
        <w:t>Денсаулық мүмкіндіктері шектеулі тұлғаларды оқыту кезінде пәнді табысты меңгеру үшін келесі бейімделген білім беру технологиялары қолданылуы мүмкін:</w:t>
      </w:r>
    </w:p>
    <w:p/>
    <w:p/>
    <w:p/>
    <w:p>
      <w:pPr>
        <w:jc w:val="center"/>
      </w:pPr>
      <w:r>
        <w:rPr>
          <w:b w:val="1"/>
        </w:rPr>
        <w:t>1.6 Пререквизиттер</w:t>
      </w:r>
    </w:p>
    <w:p/>
    <w:p>
      <w:pPr>
        <w:ind w:firstLine="567"/>
      </w:pPr>
      <w:r>
        <w:t>- Инновациялық менеджмент</w:t>
      </w:r>
    </w:p>
    <w:p/>
    <w:p>
      <w:pPr>
        <w:jc w:val="center"/>
      </w:pPr>
      <w:r>
        <w:rPr>
          <w:b w:val="1"/>
        </w:rPr>
        <w:t>1.7 Постреквизиттер</w:t>
      </w:r>
    </w:p>
    <w:p/>
    <w:p>
      <w:pPr>
        <w:ind w:firstLine="567"/>
      </w:pPr>
    </w:p>
    <w:p/>
    <w:p>
      <w:pPr>
        <w:jc w:val="center"/>
      </w:pPr>
      <w:r>
        <w:rPr>
          <w:b w:val="1"/>
        </w:rPr>
        <w:t>1.8 Пәннің еңбек сыйымдылығы</w:t>
      </w:r>
    </w:p>
    <w:p/>
    <w:tbl>
      <w:tblPr>
        <w:tblCellMar>
          <w:left w:type="dxa" w:w="25"/>
          <w:top w:type="dxa" w:w="25"/>
          <w:right w:type="dxa" w:w="25"/>
          <w:bottom w:type="dxa" w:w="25"/>
        </w:tblCellMar>
        <w:tblBorders>
          <w:insideH w:val="thick"/>
          <w:insideV w:val="thick"/>
          <w:left w:val="thick"/>
          <w:right w:val="thick"/>
          <w:top w:val="thick"/>
          <w:bottom w:val="thick"/>
        </w:tblBorders>
        <w:tblW w:type="pct" w:w="5000"/>
      </w:tblPr>
      <w:tblGrid/>
      <w:tr>
        <w:trPr>
          <w:tblHeader w:val="1"/>
        </w:trPr>
        <w:tc>
          <w:tcPr>
            <w:tcW w:type="pct" w:w="3500"/>
          </w:tcPr>
          <w:p>
            <w:r>
              <w:t>Жұмыс түрлері</w:t>
            </w:r>
          </w:p>
        </w:tc>
        <w:tc>
          <w:tcPr>
            <w:tcW w:type="pct" w:w="1500"/>
          </w:tcPr>
          <w:p>
            <w:pPr>
              <w:jc w:val="center"/>
            </w:pPr>
            <w:r>
              <w:t>сағат</w:t>
            </w:r>
          </w:p>
        </w:tc>
      </w:tr>
      <w:tr>
        <w:tc>
          <w:p>
            <w:r>
              <w:t>Дәрістер</w:t>
            </w:r>
          </w:p>
        </w:tc>
        <w:tc>
          <w:p>
            <w:pPr>
              <w:jc w:val="center"/>
            </w:pPr>
            <w:r>
              <w:t>15</w:t>
            </w:r>
          </w:p>
        </w:tc>
      </w:tr>
      <w:tr>
        <w:tc>
          <w:p>
            <w:r>
              <w:t>Практикалық жұмыстар</w:t>
            </w:r>
          </w:p>
        </w:tc>
        <w:tc>
          <w:p>
            <w:pPr>
              <w:jc w:val="center"/>
            </w:pPr>
            <w:r>
              <w:t>15</w:t>
            </w:r>
          </w:p>
        </w:tc>
      </w:tr>
      <w:tr>
        <w:tc>
          <w:p>
            <w:r>
              <w:t>СӨЖО</w:t>
            </w:r>
          </w:p>
        </w:tc>
        <w:tc>
          <w:p>
            <w:pPr>
              <w:jc w:val="center"/>
            </w:pPr>
            <w:r>
              <w:t>15</w:t>
            </w:r>
          </w:p>
        </w:tc>
      </w:tr>
      <w:tr>
        <w:tc>
          <w:p>
            <w:r>
              <w:t>СӨЖ</w:t>
            </w:r>
          </w:p>
        </w:tc>
        <w:tc>
          <w:p>
            <w:pPr>
              <w:jc w:val="center"/>
            </w:pPr>
            <w:r>
              <w:t>45</w:t>
            </w:r>
          </w:p>
        </w:tc>
      </w:tr>
      <w:tr>
        <w:tc>
          <w:p>
            <w:pPr>
              <w:jc w:val="left"/>
            </w:pPr>
            <w:r>
              <w:t>Қорытынды бақылауды жүргізу нысаны /</w:t>
              <w:br/>
            </w:r>
          </w:p>
        </w:tc>
        <w:tc>
          <w:p>
            <w:pPr>
              <w:jc w:val="center"/>
            </w:pPr>
            <w:r>
              <w:t>емтихан</w:t>
            </w:r>
          </w:p>
        </w:tc>
      </w:tr>
    </w:tbl>
    <w:p/>
    <w:p>
      <w:pPr>
        <w:jc w:val="center"/>
      </w:pPr>
      <w:r>
        <w:rPr>
          <w:b w:val="1"/>
        </w:rPr>
        <w:t>2 ПӘННІҢ МАЗМҰНЫ</w:t>
      </w:r>
    </w:p>
    <w:p/>
    <w:p>
      <w:pPr>
        <w:jc w:val="center"/>
      </w:pPr>
      <w:r>
        <w:rPr>
          <w:b w:val="1"/>
        </w:rPr>
        <w:t>2.1 Тақырыптық жоспар</w:t>
      </w:r>
    </w:p>
    <w:p/>
    <w:tbl>
      <w:tblPr>
        <w:tblCellMar>
          <w:left w:type="dxa" w:w="25"/>
          <w:top w:type="dxa" w:w="25"/>
          <w:right w:type="dxa" w:w="25"/>
          <w:bottom w:type="dxa" w:w="25"/>
        </w:tblCellMar>
        <w:tblBorders>
          <w:insideH w:val="thick"/>
          <w:insideV w:val="thick"/>
          <w:left w:val="thick"/>
          <w:right w:val="thick"/>
          <w:top w:val="thick"/>
          <w:bottom w:val="thick"/>
        </w:tblBorders>
        <w:tblW w:type="pct" w:w="5000"/>
      </w:tblPr>
      <w:tblGrid/>
      <w:tr>
        <w:trPr>
          <w:tblHeader w:val="1"/>
        </w:trPr>
        <w:tc>
          <w:tcPr>
            <w:tcW w:w="147" w:type="pct"/>
          </w:tcPr>
          <w:p>
            <w:pPr>
              <w:jc w:val="center"/>
            </w:pPr>
            <w:r>
              <w:t>№</w:t>
            </w:r>
          </w:p>
        </w:tc>
        <w:tc>
          <w:tcPr>
            <w:tcW w:w="3383" w:type="pct"/>
          </w:tcPr>
          <w:p>
            <w:pPr>
              <w:jc w:val="center"/>
            </w:pPr>
            <w:r>
              <w:t>Тақырыптың атауы және мазмұны</w:t>
            </w:r>
          </w:p>
        </w:tc>
        <w:tc>
          <w:tcPr>
            <w:tcW w:w="818" w:type="pct"/>
          </w:tcPr>
          <w:p>
            <w:pPr>
              <w:jc w:val="center"/>
            </w:pPr>
            <w:r>
              <w:t>Еңбек сыйымдылығы сағат</w:t>
            </w:r>
          </w:p>
        </w:tc>
        <w:tc>
          <w:tcPr>
            <w:tcW w:w="818" w:type="pct"/>
          </w:tcPr>
          <w:p>
            <w:pPr>
              <w:jc w:val="center"/>
            </w:pPr>
            <w:r>
              <w:t>Қол жеткізілген CDIO нәтижелері</w:t>
            </w:r>
          </w:p>
        </w:tc>
        <w:tc>
          <w:tcPr>
            <w:tcW w:w="818" w:type="pct"/>
          </w:tcPr>
          <w:p>
            <w:pPr>
              <w:jc w:val="center"/>
            </w:pPr>
            <w:r>
              <w:t>Оқыту әдісі</w:t>
            </w:r>
          </w:p>
        </w:tc>
        <w:tc>
          <w:tcPr>
            <w:tcW w:w="653" w:type="pct"/>
          </w:tcPr>
          <w:p>
            <w:pPr>
              <w:jc w:val="center"/>
            </w:pPr>
            <w:r>
              <w:t>Әдебиетке сілтеме</w:t>
            </w:r>
          </w:p>
        </w:tc>
      </w:tr>
      <w:tr>
        <w:tc>
          <w:tcPr>
            <w:gridSpan w:val="6"/>
          </w:tcPr>
          <w:p>
            <w:pPr>
              <w:jc w:val="center"/>
            </w:pPr>
            <w:r>
              <w:rPr>
                <w:b w:val="1"/>
              </w:rPr>
              <w:t>Дәрістік сабақтар</w:t>
            </w:r>
          </w:p>
        </w:tc>
      </w:tr>
      <w:tr>
        <w:tc>
          <w:p>
            <w:pPr>
              <w:jc w:val="center"/>
            </w:pPr>
            <w:r>
              <w:t>1</w:t>
            </w:r>
          </w:p>
        </w:tc>
        <w:tc>
          <w:p>
            <w:r>
              <w:t>1 тақырып</w:t>
            </w:r>
          </w:p>
        </w:tc>
        <w:tc>
          <w:p>
            <w:pPr>
              <w:jc w:val="center"/>
            </w:pPr>
            <w:r>
              <w:t>1</w:t>
            </w:r>
          </w:p>
        </w:tc>
        <w:tc>
          <w:p>
            <w:pPr>
              <w:jc w:val="center"/>
            </w:pPr>
            <w:r>
              <w:t>1</w:t>
            </w:r>
          </w:p>
        </w:tc>
        <w:tc>
          <w:p>
            <w:pPr>
              <w:jc w:val="center"/>
            </w:pPr>
            <w:r>
              <w:t>1</w:t>
            </w:r>
          </w:p>
        </w:tc>
        <w:tc>
          <w:p>
            <w:pPr>
              <w:jc w:val="center"/>
            </w:pPr>
            <w:r>
              <w:t>1</w:t>
            </w:r>
          </w:p>
        </w:tc>
      </w:tr>
      <w:tr>
        <w:tc>
          <w:tcPr>
            <w:gridSpan w:val="2"/>
          </w:tcPr>
          <w:p>
            <w:r>
              <w:rPr>
                <w:b w:val="1"/>
              </w:rPr>
              <w:t>БАРЛЫҒЫ</w:t>
            </w:r>
          </w:p>
        </w:tc>
        <w:tc>
          <w:p>
            <w:pPr>
              <w:jc w:val="center"/>
            </w:pPr>
            <w:r>
              <w:rPr>
                <w:b w:val="1"/>
              </w:rPr>
              <w:t>0</w:t>
            </w:r>
          </w:p>
        </w:tc>
        <w:tc>
          <w:tcPr>
            <w:gridSpan w:val="3"/>
          </w:tcPr>
          <w:p/>
        </w:tc>
      </w:tr>
      <w:tr>
        <w:tc>
          <w:tcPr>
            <w:gridSpan w:val="6"/>
          </w:tcPr>
          <w:p>
            <w:pPr>
              <w:jc w:val="center"/>
            </w:pPr>
            <w:r>
              <w:rPr>
                <w:b w:val="1"/>
              </w:rPr>
              <w:t>Практикалық сабақтар</w:t>
            </w:r>
          </w:p>
        </w:tc>
      </w:tr>
      <w:tr>
        <w:tc>
          <w:p>
            <w:pPr>
              <w:jc w:val="center"/>
            </w:pPr>
            <w:r>
              <w:t>1</w:t>
            </w:r>
          </w:p>
        </w:tc>
        <w:tc>
          <w:p>
            <w:r>
              <w:t>1 тақырып</w:t>
            </w:r>
          </w:p>
        </w:tc>
        <w:tc>
          <w:p>
            <w:pPr>
              <w:jc w:val="center"/>
            </w:pPr>
            <w:r>
              <w:t>1</w:t>
            </w:r>
          </w:p>
        </w:tc>
        <w:tc>
          <w:p>
            <w:pPr>
              <w:jc w:val="center"/>
            </w:pPr>
            <w:r>
              <w:t>1</w:t>
            </w:r>
          </w:p>
        </w:tc>
        <w:tc>
          <w:p>
            <w:pPr>
              <w:jc w:val="center"/>
            </w:pPr>
            <w:r>
              <w:t>1</w:t>
            </w:r>
          </w:p>
        </w:tc>
        <w:tc>
          <w:p>
            <w:pPr>
              <w:jc w:val="center"/>
            </w:pPr>
            <w:r>
              <w:t>1</w:t>
            </w:r>
          </w:p>
        </w:tc>
      </w:tr>
      <w:tr>
        <w:tc>
          <w:tcPr>
            <w:gridSpan w:val="2"/>
          </w:tcPr>
          <w:p>
            <w:r>
              <w:rPr>
                <w:b w:val="1"/>
              </w:rPr>
              <w:t>БАРЛЫҒЫ</w:t>
            </w:r>
          </w:p>
        </w:tc>
        <w:tc>
          <w:p>
            <w:pPr>
              <w:jc w:val="center"/>
            </w:pPr>
            <w:r>
              <w:rPr>
                <w:b w:val="1"/>
              </w:rPr>
              <w:t>0</w:t>
            </w:r>
          </w:p>
        </w:tc>
        <w:tc>
          <w:tcPr>
            <w:gridSpan w:val="3"/>
          </w:tcPr>
          <w:p/>
        </w:tc>
      </w:tr>
    </w:tbl>
    <w:p/>
    <w:p>
      <w:pPr>
        <w:jc w:val="center"/>
      </w:pPr>
      <w:r>
        <w:rPr>
          <w:b w:val="1"/>
        </w:rPr>
        <w:t>2.2 Тапсырманы өздік жұмыс үшін оқыту (СӨЖ)</w:t>
      </w:r>
    </w:p>
    <w:p/>
    <w:tbl>
      <w:tblPr>
        <w:tblCellMar>
          <w:left w:type="dxa" w:w="25"/>
          <w:top w:type="dxa" w:w="25"/>
          <w:right w:type="dxa" w:w="25"/>
          <w:bottom w:type="dxa" w:w="25"/>
        </w:tblCellMar>
        <w:tblBorders>
          <w:insideH w:val="thick"/>
          <w:insideV w:val="thick"/>
          <w:left w:val="thick"/>
          <w:right w:val="thick"/>
          <w:top w:val="thick"/>
          <w:bottom w:val="thick"/>
        </w:tblBorders>
        <w:tblW w:type="pct" w:w="5000"/>
      </w:tblPr>
      <w:tblGrid/>
      <w:tr>
        <w:trPr>
          <w:trHeight w:val="1229"/>
          <w:tblHeader w:val="1"/>
        </w:trPr>
        <w:tc>
          <w:tcPr>
            <w:tcW w:w="1026" w:type="pct"/>
          </w:tcPr>
          <w:p>
            <w:pPr>
              <w:jc w:val="center"/>
            </w:pPr>
            <w:r>
              <w:t>Тақырып</w:t>
            </w:r>
          </w:p>
        </w:tc>
        <w:tc>
          <w:tcPr>
            <w:tcW w:w="1140" w:type="pct"/>
          </w:tcPr>
          <w:p>
            <w:pPr>
              <w:jc w:val="center"/>
            </w:pPr>
            <w:r>
              <w:t>Тапсырманың мазмұны</w:t>
            </w:r>
          </w:p>
        </w:tc>
        <w:tc>
          <w:tcPr>
            <w:tcW w:w="620" w:type="pct"/>
          </w:tcPr>
          <w:p>
            <w:pPr>
              <w:jc w:val="center"/>
            </w:pPr>
            <w:r>
              <w:t>Бақылау түрі</w:t>
            </w:r>
          </w:p>
        </w:tc>
        <w:tc>
          <w:tcPr>
            <w:tcW w:w="723" w:type="pct"/>
          </w:tcPr>
          <w:p>
            <w:pPr>
              <w:jc w:val="center"/>
            </w:pPr>
            <w:r>
              <w:t>Тапсыру мерзімі, апта</w:t>
            </w:r>
          </w:p>
        </w:tc>
        <w:tc>
          <w:tcPr>
            <w:tcW w:w="822" w:type="pct"/>
          </w:tcPr>
          <w:p>
            <w:pPr>
              <w:jc w:val="center"/>
            </w:pPr>
            <w:r>
              <w:t>Еңбек сыйымдылығы сағат</w:t>
            </w:r>
          </w:p>
        </w:tc>
        <w:tc>
          <w:tcPr>
            <w:tcW w:w="669" w:type="pct"/>
          </w:tcPr>
          <w:p>
            <w:pPr>
              <w:jc w:val="center"/>
            </w:pPr>
            <w:r>
              <w:t>CDIO нәтижелері</w:t>
            </w:r>
          </w:p>
        </w:tc>
      </w:tr>
      <w:tr>
        <w:tc>
          <w:p/>
        </w:tc>
        <w:tc>
          <w:p/>
        </w:tc>
        <w:tc>
          <w:p>
            <w:pPr>
              <w:jc w:val="center"/>
            </w:pPr>
          </w:p>
        </w:tc>
        <w:tc>
          <w:p>
            <w:pPr>
              <w:jc w:val="center"/>
            </w:pPr>
          </w:p>
        </w:tc>
        <w:tc>
          <w:p>
            <w:pPr>
              <w:jc w:val="center"/>
            </w:pPr>
          </w:p>
        </w:tc>
        <w:tc>
          <w:p>
            <w:pPr>
              <w:jc w:val="center"/>
            </w:pPr>
          </w:p>
        </w:tc>
      </w:tr>
      <w:tr>
        <w:tc>
          <w:tcPr>
            <w:gridSpan w:val="4"/>
          </w:tcPr>
          <w:p>
            <w:r>
              <w:rPr>
                <w:b w:val="1"/>
              </w:rPr>
              <w:t>БАРЛЫҒЫ</w:t>
            </w:r>
          </w:p>
        </w:tc>
        <w:tc>
          <w:p>
            <w:pPr>
              <w:jc w:val="center"/>
            </w:pPr>
            <w:r>
              <w:rPr>
                <w:b w:val="1"/>
              </w:rPr>
              <w:t>0</w:t>
            </w:r>
          </w:p>
        </w:tc>
        <w:tc>
          <w:p/>
        </w:tc>
      </w:tr>
    </w:tbl>
    <w:p/>
    <w:p>
      <w:pPr>
        <w:jc w:val="center"/>
      </w:pPr>
      <w:r>
        <w:rPr>
          <w:b w:val="1"/>
        </w:rPr>
        <w:t>2.3 Пән бойынша тапсырмаларды тапсыру кестесі</w:t>
      </w:r>
    </w:p>
    <w:p/>
    <w:tbl>
      <w:tblPr>
        <w:tblCellMar>
          <w:left w:type="dxa" w:w="25"/>
          <w:top w:type="dxa" w:w="25"/>
          <w:right w:type="dxa" w:w="25"/>
          <w:bottom w:type="dxa" w:w="25"/>
        </w:tblCellMar>
        <w:tblBorders>
          <w:insideH w:val="thick"/>
          <w:insideV w:val="thick"/>
          <w:left w:val="thick"/>
          <w:right w:val="thick"/>
          <w:top w:val="thick"/>
          <w:bottom w:val="thick"/>
        </w:tblBorders>
        <w:tblW w:type="pct" w:w="5000"/>
      </w:tblPr>
      <w:tblGrid/>
      <w:tr>
        <w:trPr>
          <w:tblHeader w:val="1"/>
        </w:trPr>
        <w:tc>
          <w:tcPr>
            <w:tcW w:type="pct" w:w="1850"/>
            <w:vMerge w:val="restart"/>
          </w:tcPr>
          <w:p>
            <w:pPr>
              <w:jc w:val="center"/>
            </w:pPr>
            <w:r>
              <w:t>Тапсырма түрі</w:t>
            </w:r>
          </w:p>
        </w:tc>
        <w:tc>
          <w:tcPr>
            <w:gridSpan w:val="15"/>
          </w:tcPr>
          <w:p>
            <w:pPr>
              <w:jc w:val="center"/>
            </w:pPr>
            <w:r>
              <w:t>Академиялық оқу кезеңі, апта</w:t>
            </w:r>
          </w:p>
        </w:tc>
      </w:tr>
      <w:tr>
        <w:trPr>
          <w:tblHeader w:val="1"/>
        </w:trPr>
        <w:tc>
          <w:tcPr>
            <w:vMerge w:val="continue"/>
          </w:tcPr>
          <w:p/>
        </w:tc>
        <w:tc>
          <w:tcPr>
            <w:tcW w:type="pct" w:w="210"/>
          </w:tcPr>
          <w:p>
            <w:pPr>
              <w:jc w:val="center"/>
            </w:pPr>
            <w:r>
              <w:t>1</w:t>
            </w:r>
          </w:p>
        </w:tc>
        <w:tc>
          <w:tcPr>
            <w:tcW w:type="pct" w:w="210"/>
          </w:tcPr>
          <w:p>
            <w:pPr>
              <w:jc w:val="center"/>
            </w:pPr>
            <w:r>
              <w:t>2</w:t>
            </w:r>
          </w:p>
        </w:tc>
        <w:tc>
          <w:tcPr>
            <w:tcW w:type="pct" w:w="210"/>
          </w:tcPr>
          <w:p>
            <w:pPr>
              <w:jc w:val="center"/>
            </w:pPr>
            <w:r>
              <w:t>3</w:t>
            </w:r>
          </w:p>
        </w:tc>
        <w:tc>
          <w:tcPr>
            <w:tcW w:type="pct" w:w="210"/>
          </w:tcPr>
          <w:p>
            <w:pPr>
              <w:jc w:val="center"/>
            </w:pPr>
            <w:r>
              <w:t>4</w:t>
            </w:r>
          </w:p>
        </w:tc>
        <w:tc>
          <w:tcPr>
            <w:tcW w:type="pct" w:w="210"/>
          </w:tcPr>
          <w:p>
            <w:pPr>
              <w:jc w:val="center"/>
            </w:pPr>
            <w:r>
              <w:t>5</w:t>
            </w:r>
          </w:p>
        </w:tc>
        <w:tc>
          <w:tcPr>
            <w:tcW w:type="pct" w:w="210"/>
          </w:tcPr>
          <w:p>
            <w:pPr>
              <w:jc w:val="center"/>
            </w:pPr>
            <w:r>
              <w:t>6</w:t>
            </w:r>
          </w:p>
        </w:tc>
        <w:tc>
          <w:tcPr>
            <w:tcW w:type="pct" w:w="210"/>
          </w:tcPr>
          <w:p>
            <w:pPr>
              <w:jc w:val="center"/>
            </w:pPr>
            <w:r>
              <w:t>7</w:t>
            </w:r>
          </w:p>
        </w:tc>
        <w:tc>
          <w:tcPr>
            <w:tcW w:type="pct" w:w="210"/>
          </w:tcPr>
          <w:p>
            <w:pPr>
              <w:jc w:val="center"/>
            </w:pPr>
            <w:r>
              <w:t>8</w:t>
            </w:r>
          </w:p>
        </w:tc>
        <w:tc>
          <w:tcPr>
            <w:tcW w:type="pct" w:w="210"/>
          </w:tcPr>
          <w:p>
            <w:pPr>
              <w:jc w:val="center"/>
            </w:pPr>
            <w:r>
              <w:t>9</w:t>
            </w:r>
          </w:p>
        </w:tc>
        <w:tc>
          <w:tcPr>
            <w:tcW w:type="pct" w:w="210"/>
          </w:tcPr>
          <w:p>
            <w:pPr>
              <w:jc w:val="center"/>
            </w:pPr>
            <w:r>
              <w:t>10</w:t>
            </w:r>
          </w:p>
        </w:tc>
        <w:tc>
          <w:tcPr>
            <w:tcW w:type="pct" w:w="210"/>
          </w:tcPr>
          <w:p>
            <w:pPr>
              <w:jc w:val="center"/>
            </w:pPr>
            <w:r>
              <w:t>11</w:t>
            </w:r>
          </w:p>
        </w:tc>
        <w:tc>
          <w:tcPr>
            <w:tcW w:type="pct" w:w="210"/>
          </w:tcPr>
          <w:p>
            <w:pPr>
              <w:jc w:val="center"/>
            </w:pPr>
            <w:r>
              <w:t>12</w:t>
            </w:r>
          </w:p>
        </w:tc>
        <w:tc>
          <w:tcPr>
            <w:tcW w:type="pct" w:w="210"/>
          </w:tcPr>
          <w:p>
            <w:pPr>
              <w:jc w:val="center"/>
            </w:pPr>
            <w:r>
              <w:t>13</w:t>
            </w:r>
          </w:p>
        </w:tc>
        <w:tc>
          <w:tcPr>
            <w:tcW w:type="pct" w:w="210"/>
          </w:tcPr>
          <w:p>
            <w:pPr>
              <w:jc w:val="center"/>
            </w:pPr>
            <w:r>
              <w:t>14</w:t>
            </w:r>
          </w:p>
        </w:tc>
        <w:tc>
          <w:tcPr>
            <w:tcW w:type="pct" w:w="210"/>
          </w:tcPr>
          <w:p>
            <w:pPr>
              <w:jc w:val="center"/>
            </w:pPr>
            <w:r>
              <w:t>15</w:t>
            </w:r>
          </w:p>
        </w:tc>
      </w:tr>
      <w:tr>
        <w:tc>
          <w:tcPr>
            <w:gridSpan w:val="16"/>
          </w:tcPr>
          <w:p>
            <w:pPr>
              <w:jc w:val="center"/>
            </w:pPr>
            <w:r>
              <w:t>Білімі</w:t>
            </w:r>
          </w:p>
        </w:tc>
      </w:tr>
      <w:tr>
        <w:tc>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r>
      <w:tr>
        <w:tc>
          <w:tcPr>
            <w:gridSpan w:val="16"/>
          </w:tcPr>
          <w:p>
            <w:pPr>
              <w:jc w:val="center"/>
            </w:pPr>
            <w:r>
              <w:t>Түсіну</w:t>
            </w:r>
          </w:p>
        </w:tc>
      </w:tr>
      <w:tr>
        <w:tc>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r>
      <w:tr>
        <w:tc>
          <w:tcPr>
            <w:gridSpan w:val="16"/>
          </w:tcPr>
          <w:p>
            <w:pPr>
              <w:jc w:val="center"/>
            </w:pPr>
            <w:r>
              <w:t>Пайдалану</w:t>
            </w:r>
          </w:p>
        </w:tc>
      </w:tr>
      <w:tr>
        <w:tc>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r>
      <w:tr>
        <w:tc>
          <w:tcPr>
            <w:gridSpan w:val="16"/>
          </w:tcPr>
          <w:p>
            <w:pPr>
              <w:jc w:val="center"/>
            </w:pPr>
            <w:r>
              <w:t>Талдау</w:t>
            </w:r>
          </w:p>
        </w:tc>
      </w:tr>
      <w:tr>
        <w:tc>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r>
    </w:tbl>
    <w:p/>
    <w:p>
      <w:pPr>
        <w:jc w:val="center"/>
      </w:pPr>
      <w:r>
        <w:rPr>
          <w:b w:val="1"/>
        </w:rPr>
        <w:t>3 БІЛІМ АЛУШЫНЫҢ БІЛІМІН БАҒАЛАУ</w:t>
      </w:r>
    </w:p>
    <w:p/>
    <w:p>
      <w:pPr>
        <w:ind w:firstLine="567"/>
      </w:pPr>
      <w:r>
        <w:t>Оқытушы ағымдағы бақылау жұмыстарының барлық түрлерін жүргізеді және академиялық кезеңде екі рет білім алушылардың ағымдағы үлгеріміне тиісті баға береді. Ағымдағы бақылау нәтижелері бойынша 1 және 2 рейтинг қалыптастырылады. Білім алушының оқу жетістіктері 100 балдық шкала бойынша бағаланады, Р1 және Р2 қорытынды бағасы ағымдағы үлгерім бағасынан орташа арифметикалық ретінде шығарылады. Академиялық кезеңде білім алушының жұмысын бағалауды пән бойынша тапсырмаларды тапсыру кестесіне сәйкес оқытушы жүзеге асырады. Бақылау жүйесі жазбаша және ауызша, топтық және жеке формаларды біріктіре алады.</w:t>
      </w:r>
    </w:p>
    <w:p/>
    <w:tbl>
      <w:tblPr>
        <w:tblCellMar>
          <w:left w:type="dxa" w:w="25"/>
          <w:top w:type="dxa" w:w="25"/>
          <w:right w:type="dxa" w:w="25"/>
          <w:bottom w:type="dxa" w:w="25"/>
        </w:tblCellMar>
        <w:tblBorders>
          <w:insideH w:val="thick"/>
          <w:insideV w:val="thick"/>
          <w:left w:val="thick"/>
          <w:right w:val="thick"/>
          <w:top w:val="thick"/>
          <w:bottom w:val="thick"/>
        </w:tblBorders>
        <w:tblW w:type="pct" w:w="5000"/>
      </w:tblPr>
      <w:tblGrid/>
      <w:tr>
        <w:trPr>
          <w:tblHeader w:val="1"/>
        </w:trPr>
        <w:tc>
          <w:tcPr>
            <w:tcW w:type="pct" w:w="500"/>
          </w:tcPr>
          <w:p>
            <w:pPr>
              <w:jc w:val="center"/>
            </w:pPr>
            <w:r>
              <w:t>Кезең</w:t>
            </w:r>
          </w:p>
        </w:tc>
        <w:tc>
          <w:tcPr>
            <w:tcW w:type="pct" w:w="2500"/>
          </w:tcPr>
          <w:p>
            <w:pPr>
              <w:jc w:val="center"/>
            </w:pPr>
            <w:r>
              <w:t>Жұмыс түрі</w:t>
            </w:r>
          </w:p>
        </w:tc>
        <w:tc>
          <w:tcPr>
            <w:tcW w:type="pct" w:w="500"/>
          </w:tcPr>
          <w:p>
            <w:pPr>
              <w:jc w:val="center"/>
            </w:pPr>
            <w:r>
              <w:t>Қорытынды баға</w:t>
            </w:r>
          </w:p>
        </w:tc>
      </w:tr>
      <w:tr>
        <w:tc>
          <w:tcPr>
            <w:tcW w:w="0" w:type="auto"/>
            <w:vMerge w:val="restart"/>
          </w:tcPr>
          <w:p>
            <w:pPr>
              <w:jc w:val="center"/>
            </w:pPr>
            <w:r>
              <w:t>1-ші рейтинг</w:t>
            </w:r>
          </w:p>
        </w:tc>
        <w:tc>
          <w:tcPr>
            <w:tcW w:w="0" w:type="auto"/>
          </w:tcPr>
          <w:p/>
        </w:tc>
        <w:tc>
          <w:tcPr>
            <w:tcW w:w="0" w:type="auto"/>
            <w:vMerge w:val="restart"/>
          </w:tcPr>
          <w:p>
            <w:pPr>
              <w:jc w:val="center"/>
            </w:pPr>
            <w:r>
              <w:t>0-100</w:t>
            </w:r>
          </w:p>
        </w:tc>
      </w:tr>
      <w:tr>
        <w:tc>
          <w:tcPr>
            <w:tcW w:w="0" w:type="auto"/>
            <w:vMerge/>
          </w:tcPr>
          <w:p>
            <w:pPr>
              <w:jc w:val="center"/>
            </w:pPr>
          </w:p>
        </w:tc>
        <w:tc>
          <w:tcPr>
            <w:tcW w:w="0" w:type="auto"/>
          </w:tcPr>
          <w:p/>
        </w:tc>
        <w:tc>
          <w:tcPr>
            <w:tcW w:w="0" w:type="auto"/>
            <w:vMerge/>
          </w:tcPr>
          <w:p>
            <w:pPr>
              <w:jc w:val="center"/>
            </w:pPr>
          </w:p>
        </w:tc>
      </w:tr>
      <w:tr>
        <w:tc>
          <w:tcPr>
            <w:tcW w:w="0" w:type="auto"/>
            <w:vMerge/>
          </w:tcPr>
          <w:p>
            <w:pPr>
              <w:jc w:val="center"/>
            </w:pPr>
          </w:p>
        </w:tc>
        <w:tc>
          <w:tcPr>
            <w:tcW w:w="0" w:type="auto"/>
          </w:tcPr>
          <w:p/>
        </w:tc>
        <w:tc>
          <w:tcPr>
            <w:tcW w:w="0" w:type="auto"/>
            <w:vMerge/>
          </w:tcPr>
          <w:p>
            <w:pPr>
              <w:jc w:val="center"/>
            </w:pPr>
          </w:p>
        </w:tc>
      </w:tr>
      <w:tr>
        <w:tc>
          <w:tcPr>
            <w:tcW w:w="0" w:type="auto"/>
            <w:vMerge w:val="restart"/>
          </w:tcPr>
          <w:p>
            <w:pPr>
              <w:jc w:val="center"/>
            </w:pPr>
            <w:r>
              <w:t>2-ші рейтинг</w:t>
            </w:r>
          </w:p>
        </w:tc>
        <w:tc>
          <w:tcPr>
            <w:tcW w:w="0" w:type="auto"/>
          </w:tcPr>
          <w:p/>
        </w:tc>
        <w:tc>
          <w:tcPr>
            <w:tcW w:w="0" w:type="auto"/>
            <w:vMerge w:val="restart"/>
          </w:tcPr>
          <w:p>
            <w:pPr>
              <w:jc w:val="center"/>
            </w:pPr>
            <w:r>
              <w:t>0-100</w:t>
            </w:r>
          </w:p>
        </w:tc>
      </w:tr>
      <w:tr>
        <w:tc>
          <w:tcPr>
            <w:tcW w:w="0" w:type="auto"/>
            <w:vMerge/>
          </w:tcPr>
          <w:p>
            <w:pPr>
              <w:jc w:val="center"/>
            </w:pPr>
          </w:p>
        </w:tc>
        <w:tc>
          <w:tcPr>
            <w:tcW w:w="0" w:type="auto"/>
          </w:tcPr>
          <w:p/>
        </w:tc>
        <w:tc>
          <w:tcPr>
            <w:tcW w:w="0" w:type="auto"/>
            <w:vMerge/>
          </w:tcPr>
          <w:p>
            <w:pPr>
              <w:jc w:val="center"/>
            </w:pPr>
          </w:p>
        </w:tc>
      </w:tr>
      <w:tr>
        <w:tc>
          <w:tcPr>
            <w:tcW w:w="0" w:type="auto"/>
            <w:vMerge/>
          </w:tcPr>
          <w:p>
            <w:pPr>
              <w:jc w:val="center"/>
            </w:pPr>
          </w:p>
        </w:tc>
        <w:tc>
          <w:tcPr>
            <w:tcW w:w="0" w:type="auto"/>
          </w:tcPr>
          <w:p/>
        </w:tc>
        <w:tc>
          <w:tcPr>
            <w:tcW w:w="0" w:type="auto"/>
            <w:vMerge/>
          </w:tcPr>
          <w:p>
            <w:pPr>
              <w:jc w:val="center"/>
            </w:pPr>
          </w:p>
        </w:tc>
      </w:tr>
      <w:tr>
        <w:tc>
          <w:p>
            <w:pPr>
              <w:jc w:val="center"/>
            </w:pPr>
            <w:r>
              <w:t>Қорытынды бақылау</w:t>
            </w:r>
          </w:p>
        </w:tc>
        <w:tc>
          <w:tcPr>
            <w:hMerge w:val="restart"/>
          </w:tcPr>
          <w:p>
            <w:r>
              <w:t>емтихан</w:t>
            </w:r>
          </w:p>
        </w:tc>
        <w:tc>
          <w:p>
            <w:pPr>
              <w:jc w:val="center"/>
            </w:pPr>
            <w:r>
              <w:t>0-100</w:t>
            </w:r>
          </w:p>
        </w:tc>
      </w:tr>
    </w:tbl>
    <w:p/>
    <w:p>
      <w:pPr>
        <w:jc w:val="center"/>
      </w:pPr>
      <w:r>
        <w:rPr>
          <w:b w:val="1"/>
        </w:rPr>
        <w:t>3.1 Жұмыс түрлері бойынша оқыту нәтижелерін бағалау саясаты</w:t>
      </w:r>
    </w:p>
    <w:p/>
    <w:tbl>
      <w:tblPr>
        <w:tblCellMar>
          <w:left w:type="dxa" w:w="25"/>
          <w:top w:type="dxa" w:w="25"/>
          <w:right w:type="dxa" w:w="25"/>
          <w:bottom w:type="dxa" w:w="25"/>
        </w:tblCellMar>
        <w:tblBorders>
          <w:insideH w:val="thick"/>
          <w:insideV w:val="thick"/>
          <w:left w:val="thick"/>
          <w:right w:val="thick"/>
          <w:top w:val="thick"/>
          <w:bottom w:val="thick"/>
        </w:tblBorders>
        <w:tblW w:type="pct" w:w="5000"/>
      </w:tblPr>
      <w:tblGrid/>
      <w:tr>
        <w:tc>
          <w:tcPr>
            <w:tcW w:type="pct" w:w="1000"/>
            <w:vMerge w:val="restart"/>
          </w:tcPr>
          <w:p>
            <w:pPr>
              <w:jc w:val="center"/>
            </w:pPr>
            <w:r>
              <w:rPr>
                <w:b w:val="1"/>
                <w:sz w:val="20"/>
              </w:rPr>
              <w:t>Жұмыс түрі</w:t>
            </w:r>
          </w:p>
        </w:tc>
        <w:tc>
          <w:tcPr>
            <w:tcW w:type="pct" w:w="1000"/>
          </w:tcPr>
          <w:p>
            <w:pPr>
              <w:jc w:val="center"/>
            </w:pPr>
            <w:r>
              <w:rPr>
                <w:b w:val="1"/>
                <w:sz w:val="20"/>
              </w:rPr>
              <w:t>90-100</w:t>
            </w:r>
          </w:p>
        </w:tc>
        <w:tc>
          <w:tcPr>
            <w:tcW w:type="pct" w:w="1000"/>
          </w:tcPr>
          <w:p>
            <w:pPr>
              <w:jc w:val="center"/>
            </w:pPr>
            <w:r>
              <w:rPr>
                <w:b w:val="1"/>
                <w:sz w:val="20"/>
              </w:rPr>
              <w:t>70-89</w:t>
            </w:r>
          </w:p>
        </w:tc>
        <w:tc>
          <w:tcPr>
            <w:tcW w:type="pct" w:w="1000"/>
          </w:tcPr>
          <w:p>
            <w:pPr>
              <w:jc w:val="center"/>
            </w:pPr>
            <w:r>
              <w:rPr>
                <w:b w:val="1"/>
                <w:sz w:val="20"/>
              </w:rPr>
              <w:t>50-69</w:t>
            </w:r>
          </w:p>
        </w:tc>
        <w:tc>
          <w:tcPr>
            <w:tcW w:type="pct" w:w="1000"/>
          </w:tcPr>
          <w:p>
            <w:pPr>
              <w:jc w:val="center"/>
            </w:pPr>
            <w:r>
              <w:rPr>
                <w:b w:val="1"/>
                <w:sz w:val="20"/>
              </w:rPr>
              <w:t>0-49</w:t>
            </w:r>
          </w:p>
        </w:tc>
      </w:tr>
      <w:tr>
        <w:tc>
          <w:tcPr>
            <w:vMerge/>
          </w:tcPr>
          <w:p/>
        </w:tc>
        <w:tc>
          <w:p>
            <w:pPr>
              <w:jc w:val="center"/>
            </w:pPr>
            <w:r>
              <w:rPr>
                <w:b w:val="1"/>
                <w:sz w:val="20"/>
              </w:rPr>
              <w:t>Өте жақсы</w:t>
            </w:r>
          </w:p>
        </w:tc>
        <w:tc>
          <w:p>
            <w:pPr>
              <w:jc w:val="center"/>
            </w:pPr>
            <w:r>
              <w:rPr>
                <w:b w:val="1"/>
                <w:sz w:val="20"/>
              </w:rPr>
              <w:t>Жақсы</w:t>
            </w:r>
          </w:p>
        </w:tc>
        <w:tc>
          <w:p>
            <w:pPr>
              <w:jc w:val="center"/>
            </w:pPr>
            <w:r>
              <w:rPr>
                <w:b w:val="1"/>
                <w:sz w:val="20"/>
              </w:rPr>
              <w:t>Қанағаттанарлық</w:t>
              <w:t/>
            </w:r>
          </w:p>
        </w:tc>
        <w:tc>
          <w:p>
            <w:pPr>
              <w:jc w:val="center"/>
            </w:pPr>
            <w:r>
              <w:rPr>
                <w:b w:val="1"/>
                <w:sz w:val="20"/>
              </w:rPr>
              <w:t>Қанағаттанарлықсыз</w:t>
              <w:t/>
            </w:r>
          </w:p>
        </w:tc>
      </w:tr>
    </w:tbl>
    <w:p/>
    <w:p>
      <w:pPr>
        <w:ind w:firstLine="567"/>
      </w:pPr>
      <w:r>
        <w:t>Пән бойынша білім алушының білімін қорытынды бағалау 100 баллдық жүйе бойынша жүзеге асырылады және:</w:t>
      </w:r>
    </w:p>
    <w:p>
      <w:pPr>
        <w:ind w:firstLine="567"/>
      </w:pPr>
      <w:r>
        <w:t>- Ағымдағы үлгерім нәтижелерінің 60%;</w:t>
      </w:r>
    </w:p>
    <w:p>
      <w:pPr>
        <w:ind w:firstLine="567"/>
      </w:pPr>
      <w:r>
        <w:t>- Емтиханнан алынған нәтиженің 40%.</w:t>
      </w:r>
    </w:p>
    <w:p/>
    <w:p>
      <w:pPr>
        <w:ind w:firstLine="567"/>
      </w:pPr>
      <w:r>
        <w:t>Қорытынды бағаны есептеу формуласы</w:t>
      </w:r>
    </w:p>
    <w:p/>
    <w:p>
      <w:pPr>
        <w:jc w:val="right"/>
      </w:pPr>
      <m:oMath>
        <m:r>
          <w:rPr>
            <w:rFonts w:ascii="Cambria Math"/>
            <w:szCs w:val="28"/>
          </w:rPr>
          <m:t>И</m:t>
        </m:r>
        <m:r>
          <w:rPr>
            <w:rFonts w:ascii="Cambria Math"/>
            <w:szCs w:val="28"/>
          </w:rPr>
          <m:t>= 0,6</m:t>
        </m:r>
        <m:f>
          <m:fPr>
            <m:ctrlPr>
              <w:rPr>
                <w:rFonts w:ascii="Cambria Math" w:hAnsi="Cambria Math"/>
                <w:i/>
                <w:szCs w:val="28"/>
              </w:rPr>
            </m:ctrlPr>
          </m:fPr>
          <m:num>
            <m:sSub>
              <m:sSubPr>
                <m:ctrlPr>
                  <w:rPr>
                    <w:rFonts w:ascii="Cambria Math" w:hAnsi="Cambria Math"/>
                    <w:i/>
                    <w:szCs w:val="28"/>
                  </w:rPr>
                </m:ctrlPr>
              </m:sSubPr>
              <m:e>
                <m:r>
                  <w:rPr>
                    <w:rFonts w:ascii="Cambria Math"/>
                    <w:szCs w:val="28"/>
                  </w:rPr>
                  <m:t>Р</m:t>
                </m:r>
              </m:e>
              <m:sub>
                <m:r>
                  <w:rPr>
                    <w:rFonts w:ascii="Cambria Math"/>
                    <w:szCs w:val="28"/>
                  </w:rPr>
                  <m:t>1</m:t>
                </m:r>
                <m:ctrlPr>
                  <w:rPr>
                    <w:rFonts w:ascii="Cambria Math"/>
                    <w:i/>
                    <w:szCs w:val="28"/>
                  </w:rPr>
                </m:ctrlPr>
              </m:sub>
            </m:sSub>
            <m:r>
              <w:rPr>
                <w:rFonts w:ascii="Cambria Math"/>
                <w:szCs w:val="28"/>
              </w:rPr>
              <m:t>+</m:t>
            </m:r>
            <m:sSub>
              <m:sSubPr>
                <m:ctrlPr>
                  <w:rPr>
                    <w:rFonts w:ascii="Cambria Math" w:hAnsi="Cambria Math"/>
                    <w:i/>
                    <w:szCs w:val="28"/>
                  </w:rPr>
                </m:ctrlPr>
              </m:sSubPr>
              <m:e>
                <m:r>
                  <w:rPr>
                    <w:rFonts w:ascii="Cambria Math"/>
                    <w:szCs w:val="28"/>
                  </w:rPr>
                  <m:t>Р</m:t>
                </m:r>
              </m:e>
              <m:sub>
                <m:r>
                  <w:rPr>
                    <w:rFonts w:ascii="Cambria Math"/>
                    <w:szCs w:val="28"/>
                  </w:rPr>
                  <m:t>2</m:t>
                </m:r>
                <m:ctrlPr>
                  <w:rPr>
                    <w:rFonts w:ascii="Cambria Math"/>
                    <w:i/>
                    <w:szCs w:val="28"/>
                  </w:rPr>
                </m:ctrlPr>
              </m:sub>
            </m:sSub>
            <m:ctrlPr>
              <w:rPr>
                <w:rFonts w:ascii="Cambria Math"/>
                <w:i/>
                <w:szCs w:val="28"/>
              </w:rPr>
            </m:ctrlPr>
          </m:num>
          <m:den>
            <m:r>
              <w:rPr>
                <w:rFonts w:ascii="Cambria Math"/>
                <w:szCs w:val="28"/>
              </w:rPr>
              <m:t>2</m:t>
            </m:r>
            <m:ctrlPr>
              <w:rPr>
                <w:rFonts w:ascii="Cambria Math"/>
                <w:i/>
                <w:szCs w:val="28"/>
              </w:rPr>
            </m:ctrlPr>
          </m:den>
        </m:f>
        <m:r>
          <w:rPr>
            <w:rFonts w:ascii="Cambria Math"/>
            <w:szCs w:val="28"/>
          </w:rPr>
          <m:t>+0,4</m:t>
        </m:r>
        <m:r>
          <w:rPr>
            <w:rFonts w:ascii="Cambria Math"/>
            <w:szCs w:val="28"/>
          </w:rPr>
          <m:t>Э</m:t>
        </m:r>
      </m:oMath>
      <w:r>
        <w:tab/>
        <w:tab/>
        <w:tab/>
        <w:tab/>
        <w:tab/>
        <w:t>(1)</w:t>
      </w:r>
    </w:p>
    <w:p/>
    <w:p>
      <w:pPr>
        <w:ind w:firstLine="567"/>
      </w:pPr>
      <w:r>
        <w:t>мұндағы Р1, Р2-тиісінше бірінші, екінші рейтингті бағалаудың сандық эквиваленттері;</w:t>
      </w:r>
    </w:p>
    <w:p>
      <w:pPr>
        <w:ind w:firstLine="567"/>
      </w:pPr>
      <w:r>
        <w:t>Э – емтихандағы бағаның сандық баламасы.</w:t>
      </w:r>
    </w:p>
    <w:p/>
    <w:p>
      <w:pPr>
        <w:ind w:firstLine="567"/>
      </w:pPr>
      <w:r>
        <w:t>Төрт балдық жүйе бойынша цифрлық баламаға сәйкес келетін білім алушылардың оқу жетістіктерін бағалаудың әріптік жүйесі:</w:t>
      </w:r>
    </w:p>
    <w:tbl>
      <w:tblPr>
        <w:tblCellMar>
          <w:left w:type="dxa" w:w="25"/>
          <w:top w:type="dxa" w:w="25"/>
          <w:right w:type="dxa" w:w="25"/>
          <w:bottom w:type="dxa" w:w="25"/>
        </w:tblCellMar>
        <w:tblBorders>
          <w:insideH w:val="thick"/>
          <w:insideV w:val="thick"/>
          <w:left w:val="thick"/>
          <w:right w:val="thick"/>
          <w:top w:val="thick"/>
          <w:bottom w:val="thick"/>
        </w:tblBorders>
        <w:tblW w:type="pct" w:w="5000"/>
      </w:tblPr>
      <w:tblGrid/>
      <w:tr>
        <w:trPr>
          <w:tblHeader w:val="1"/>
        </w:trPr>
        <w:tc>
          <w:tcPr>
            <w:tcW w:w="600" w:type="pct"/>
          </w:tcPr>
          <w:p>
            <w:pPr>
              <w:jc w:val="center"/>
            </w:pPr>
            <w:r>
              <w:t>Әріптік жүйе бойынша бағалар</w:t>
            </w:r>
          </w:p>
        </w:tc>
        <w:tc>
          <w:tcPr>
            <w:tcW w:w="900" w:type="pct"/>
          </w:tcPr>
          <w:p>
            <w:pPr>
              <w:jc w:val="center"/>
            </w:pPr>
            <w:r>
              <w:t>Балдардың сандық эквиваленті</w:t>
            </w:r>
          </w:p>
        </w:tc>
        <w:tc>
          <w:tcPr>
            <w:tcW w:w="800" w:type="pct"/>
          </w:tcPr>
          <w:p>
            <w:pPr>
              <w:jc w:val="center"/>
            </w:pPr>
            <w:r>
              <w:t>Балдар (%-тік құрамы)</w:t>
            </w:r>
          </w:p>
        </w:tc>
        <w:tc>
          <w:tcPr>
            <w:tcW w:w="800" w:type="pct"/>
          </w:tcPr>
          <w:p>
            <w:pPr>
              <w:jc w:val="center"/>
            </w:pPr>
            <w:r>
              <w:t>Дәстүрлі жүйе бойынша бағалар</w:t>
            </w:r>
          </w:p>
        </w:tc>
      </w:tr>
      <w:tr>
        <w:tc>
          <w:p>
            <w:pPr>
              <w:jc w:val="center"/>
            </w:pPr>
            <w:r>
              <w:t>A</w:t>
            </w:r>
          </w:p>
        </w:tc>
        <w:tc>
          <w:p>
            <w:pPr>
              <w:jc w:val="center"/>
            </w:pPr>
            <w:r>
              <w:t>4.0</w:t>
            </w:r>
          </w:p>
        </w:tc>
        <w:tc>
          <w:p>
            <w:pPr>
              <w:jc w:val="center"/>
            </w:pPr>
            <w:r>
              <w:t>95-100</w:t>
            </w:r>
          </w:p>
        </w:tc>
        <w:tc>
          <w:tcPr>
            <w:vMerge w:val="restart"/>
          </w:tcPr>
          <w:p>
            <w:pPr>
              <w:jc w:val="center"/>
            </w:pPr>
            <w:r>
              <w:t>Өте жақсы</w:t>
            </w:r>
          </w:p>
        </w:tc>
      </w:tr>
      <w:tr>
        <w:tc>
          <w:p>
            <w:pPr>
              <w:jc w:val="center"/>
            </w:pPr>
            <w:r>
              <w:t>A-</w:t>
            </w:r>
          </w:p>
        </w:tc>
        <w:tc>
          <w:p>
            <w:pPr>
              <w:jc w:val="center"/>
            </w:pPr>
            <w:r>
              <w:t>3.67</w:t>
            </w:r>
          </w:p>
        </w:tc>
        <w:tc>
          <w:p>
            <w:pPr>
              <w:jc w:val="center"/>
            </w:pPr>
            <w:r>
              <w:t>90-94</w:t>
            </w:r>
          </w:p>
        </w:tc>
        <w:tc>
          <w:tcPr>
            <w:vMerge w:val="continue"/>
          </w:tcPr>
          <w:p/>
        </w:tc>
      </w:tr>
      <w:tr>
        <w:tc>
          <w:p>
            <w:pPr>
              <w:jc w:val="center"/>
            </w:pPr>
            <w:r>
              <w:t>B+</w:t>
            </w:r>
          </w:p>
        </w:tc>
        <w:tc>
          <w:p>
            <w:pPr>
              <w:jc w:val="center"/>
            </w:pPr>
            <w:r>
              <w:t>3.33</w:t>
            </w:r>
          </w:p>
        </w:tc>
        <w:tc>
          <w:p>
            <w:pPr>
              <w:jc w:val="center"/>
            </w:pPr>
            <w:r>
              <w:t>85-89</w:t>
            </w:r>
          </w:p>
        </w:tc>
        <w:tc>
          <w:tcPr>
            <w:vMerge w:val="restart"/>
          </w:tcPr>
          <w:p>
            <w:pPr>
              <w:jc w:val="center"/>
            </w:pPr>
            <w:r>
              <w:t>Жақсы</w:t>
            </w:r>
          </w:p>
        </w:tc>
      </w:tr>
      <w:tr>
        <w:tc>
          <w:p>
            <w:pPr>
              <w:jc w:val="center"/>
            </w:pPr>
            <w:r>
              <w:t>B</w:t>
            </w:r>
          </w:p>
        </w:tc>
        <w:tc>
          <w:p>
            <w:pPr>
              <w:jc w:val="center"/>
            </w:pPr>
            <w:r>
              <w:t>3.0</w:t>
            </w:r>
          </w:p>
        </w:tc>
        <w:tc>
          <w:p>
            <w:pPr>
              <w:jc w:val="center"/>
            </w:pPr>
            <w:r>
              <w:t>80-84</w:t>
            </w:r>
          </w:p>
        </w:tc>
        <w:tc>
          <w:tcPr>
            <w:vMerge w:val="continue"/>
          </w:tcPr>
          <w:p/>
        </w:tc>
      </w:tr>
      <w:tr>
        <w:tc>
          <w:p>
            <w:pPr>
              <w:jc w:val="center"/>
            </w:pPr>
            <w:r>
              <w:t>B-</w:t>
            </w:r>
          </w:p>
        </w:tc>
        <w:tc>
          <w:p>
            <w:pPr>
              <w:jc w:val="center"/>
            </w:pPr>
            <w:r>
              <w:t>2.67</w:t>
            </w:r>
          </w:p>
        </w:tc>
        <w:tc>
          <w:p>
            <w:pPr>
              <w:jc w:val="center"/>
            </w:pPr>
            <w:r>
              <w:t>75-79</w:t>
            </w:r>
          </w:p>
        </w:tc>
        <w:tc>
          <w:tcPr>
            <w:vMerge w:val="continue"/>
          </w:tcPr>
          <w:p/>
        </w:tc>
      </w:tr>
      <w:tr>
        <w:tc>
          <w:p>
            <w:pPr>
              <w:jc w:val="center"/>
            </w:pPr>
            <w:r>
              <w:t>C+</w:t>
            </w:r>
          </w:p>
        </w:tc>
        <w:tc>
          <w:p>
            <w:pPr>
              <w:jc w:val="center"/>
            </w:pPr>
            <w:r>
              <w:t>2.33</w:t>
            </w:r>
          </w:p>
        </w:tc>
        <w:tc>
          <w:p>
            <w:pPr>
              <w:jc w:val="center"/>
            </w:pPr>
            <w:r>
              <w:t>70-74</w:t>
            </w:r>
          </w:p>
        </w:tc>
        <w:tc>
          <w:tcPr>
            <w:vMerge w:val="continue"/>
          </w:tcPr>
          <w:p/>
        </w:tc>
      </w:tr>
      <w:tr>
        <w:tc>
          <w:p>
            <w:pPr>
              <w:jc w:val="center"/>
            </w:pPr>
            <w:r>
              <w:t>C</w:t>
            </w:r>
          </w:p>
        </w:tc>
        <w:tc>
          <w:p>
            <w:pPr>
              <w:jc w:val="center"/>
            </w:pPr>
            <w:r>
              <w:t>2.0</w:t>
            </w:r>
          </w:p>
        </w:tc>
        <w:tc>
          <w:p>
            <w:pPr>
              <w:jc w:val="center"/>
            </w:pPr>
            <w:r>
              <w:t>65-69</w:t>
            </w:r>
          </w:p>
        </w:tc>
        <w:tc>
          <w:tcPr>
            <w:vMerge w:val="restart"/>
          </w:tcPr>
          <w:p>
            <w:pPr>
              <w:jc w:val="center"/>
            </w:pPr>
            <w:r>
              <w:t>Қанағаттанарлық</w:t>
            </w:r>
          </w:p>
        </w:tc>
      </w:tr>
      <w:tr>
        <w:tc>
          <w:p>
            <w:pPr>
              <w:jc w:val="center"/>
            </w:pPr>
            <w:r>
              <w:t>C-</w:t>
            </w:r>
          </w:p>
        </w:tc>
        <w:tc>
          <w:p>
            <w:pPr>
              <w:jc w:val="center"/>
            </w:pPr>
            <w:r>
              <w:t>1.67</w:t>
            </w:r>
          </w:p>
        </w:tc>
        <w:tc>
          <w:p>
            <w:pPr>
              <w:jc w:val="center"/>
            </w:pPr>
            <w:r>
              <w:t>60-64</w:t>
            </w:r>
          </w:p>
        </w:tc>
        <w:tc>
          <w:tcPr>
            <w:vMerge w:val="continue"/>
          </w:tcPr>
          <w:p/>
        </w:tc>
      </w:tr>
      <w:tr>
        <w:tc>
          <w:p>
            <w:pPr>
              <w:jc w:val="center"/>
            </w:pPr>
            <w:r>
              <w:t>D+</w:t>
            </w:r>
          </w:p>
        </w:tc>
        <w:tc>
          <w:p>
            <w:pPr>
              <w:jc w:val="center"/>
            </w:pPr>
            <w:r>
              <w:t>1.33</w:t>
            </w:r>
          </w:p>
        </w:tc>
        <w:tc>
          <w:p>
            <w:pPr>
              <w:jc w:val="center"/>
            </w:pPr>
            <w:r>
              <w:t>55-59</w:t>
            </w:r>
          </w:p>
        </w:tc>
        <w:tc>
          <w:tcPr>
            <w:vMerge w:val="continue"/>
          </w:tcPr>
          <w:p/>
        </w:tc>
      </w:tr>
      <w:tr>
        <w:tc>
          <w:p>
            <w:pPr>
              <w:jc w:val="center"/>
            </w:pPr>
            <w:r>
              <w:t>D</w:t>
            </w:r>
          </w:p>
        </w:tc>
        <w:tc>
          <w:p>
            <w:pPr>
              <w:jc w:val="center"/>
            </w:pPr>
            <w:r>
              <w:t>1.0</w:t>
            </w:r>
          </w:p>
        </w:tc>
        <w:tc>
          <w:p>
            <w:pPr>
              <w:jc w:val="center"/>
            </w:pPr>
            <w:r>
              <w:t>50-54</w:t>
            </w:r>
          </w:p>
        </w:tc>
        <w:tc>
          <w:tcPr>
            <w:vMerge w:val="continue"/>
          </w:tcPr>
          <w:p/>
        </w:tc>
      </w:tr>
      <w:tr>
        <w:tc>
          <w:p>
            <w:pPr>
              <w:jc w:val="center"/>
            </w:pPr>
            <w:r>
              <w:t>FX</w:t>
            </w:r>
          </w:p>
        </w:tc>
        <w:tc>
          <w:p>
            <w:pPr>
              <w:jc w:val="center"/>
            </w:pPr>
            <w:r>
              <w:t>0.5</w:t>
            </w:r>
          </w:p>
        </w:tc>
        <w:tc>
          <w:p>
            <w:pPr>
              <w:jc w:val="center"/>
            </w:pPr>
            <w:r>
              <w:t>25-49</w:t>
            </w:r>
          </w:p>
        </w:tc>
        <w:tc>
          <w:tcPr>
            <w:vMerge w:val="restart"/>
          </w:tcPr>
          <w:p>
            <w:pPr>
              <w:jc w:val="center"/>
            </w:pPr>
            <w:r>
              <w:t>Қанағаттанарлықсыз</w:t>
            </w:r>
          </w:p>
        </w:tc>
      </w:tr>
      <w:tr>
        <w:tc>
          <w:p>
            <w:pPr>
              <w:jc w:val="center"/>
            </w:pPr>
            <w:r>
              <w:t>F</w:t>
            </w:r>
          </w:p>
        </w:tc>
        <w:tc>
          <w:p>
            <w:pPr>
              <w:jc w:val="center"/>
            </w:pPr>
            <w:r>
              <w:t>0</w:t>
            </w:r>
          </w:p>
        </w:tc>
        <w:tc>
          <w:p>
            <w:pPr>
              <w:jc w:val="center"/>
            </w:pPr>
            <w:r>
              <w:t>0-24</w:t>
            </w:r>
          </w:p>
        </w:tc>
        <w:tc>
          <w:tcPr>
            <w:vMerge w:val="continue"/>
          </w:tcPr>
          <w:p/>
        </w:tc>
      </w:tr>
    </w:tbl>
    <w:p/>
    <w:p>
      <w:pPr>
        <w:jc w:val="center"/>
      </w:pPr>
      <w:r>
        <w:rPr>
          <w:b w:val="1"/>
        </w:rPr>
        <w:t>4 ПӘНДЕР САЯСАТЫ</w:t>
      </w:r>
    </w:p>
    <w:p/>
    <w:p>
      <w:pPr>
        <w:ind w:firstLine="567"/>
      </w:pPr>
      <w:r>
        <w:t>Білім алушы міндетті:</w:t>
      </w:r>
    </w:p>
    <w:p/>
    <w:p>
      <w:pPr>
        <w:jc w:val="center"/>
      </w:pPr>
      <w:r>
        <w:rPr>
          <w:b w:val="1"/>
        </w:rPr>
        <w:t>5 ҰСЫНЫЛАТЫН ӘДЕБИЕТТЕР ТІЗІМІ</w:t>
      </w:r>
    </w:p>
    <w:p/>
    <w:p>
      <w:pPr>
        <w:jc w:val="center"/>
      </w:pPr>
      <w:r>
        <w:rPr>
          <w:b w:val="1"/>
        </w:rPr>
        <w:t>5.1 Негізгі әдебиет</w:t>
      </w:r>
    </w:p>
    <w:p/>
    <w:p>
      <w:pPr>
        <w:ind w:firstLine="567"/>
      </w:pPr>
      <w:r>
        <w:t>Основная литература</w:t>
      </w:r>
    </w:p>
    <w:p/>
    <w:p>
      <w:pPr>
        <w:jc w:val="center"/>
      </w:pPr>
      <w:r>
        <w:rPr>
          <w:b w:val="1"/>
        </w:rPr>
        <w:t>5.2 Қосымша әдебиеттер</w:t>
      </w:r>
    </w:p>
    <w:p/>
    <w:p>
      <w:pPr>
        <w:ind w:firstLine="567"/>
      </w:pPr>
      <w:r>
        <w:t>1.	IPR SMART http://www.iprbookshop.ru</w:t>
      </w:r>
    </w:p>
    <w:p>
      <w:pPr>
        <w:ind w:firstLine="567"/>
      </w:pPr>
      <w:r>
        <w:t>2.	ScienceDirect - http://www.sciencedirect.com.</w:t>
      </w:r>
    </w:p>
    <w:p>
      <w:pPr>
        <w:ind w:firstLine="567"/>
      </w:pPr>
      <w:r>
        <w:t>3.	EBSCO Discovery Service (EDS) -  http://search.ebscohost.com</w:t>
      </w:r>
    </w:p>
    <w:p>
      <w:pPr>
        <w:ind w:firstLine="567"/>
      </w:pPr>
      <w:r>
        <w:t>Дополнительная литература</w:t>
      </w:r>
    </w:p>
    <w:sectPr>
      <w:headerReference w:type="default" r:id="rId20"/>
      <w:pgSz w:w="11906" w:h="16838"/>
      <w:pgMar w:top="1134" w:right="1134" w:bottom="1134" w:left="1134" w:header="708" w:footer="708" w:gutter="0"/>
      <w:cols w:space="708"/>
      <w:docGrid w:linePitch="360"/>
    </w:sectPr>
  </w:body>
</w:document>
</file>

<file path=word/header1.xml><?xml version="1.0" encoding="utf-8"?>
<w:hdr xmlns:wp="http://schemas.openxmlformats.org/drawingml/2006/wordprocessingDrawing" xmlns:r="http://schemas.openxmlformats.org/officeDocument/2006/relationships" xmlns:w="http://schemas.openxmlformats.org/wordprocessingml/2006/main">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Pr>
    <w:tblGrid/>
    <w:tr>
      <w:trPr>
        <w:cantSplit/>
        <w:trHeight w:val="353"/>
      </w:trPr>
      <w:tc>
        <w:tcPr>
          <w:tcW w:w="1129" w:type="dxa"/>
          <w:vMerge w:val="restart"/>
          <w:vAlign w:val="center"/>
        </w:tcPr>
        <w:p>
          <w:pPr>
            <w:jc w:val="center"/>
          </w:pPr>
          <w:r>
            <w:rPr>
              <w:noProof/>
            </w:rPr>
            <w:drawing>
              <wp:inline distT="0" distB="0" distL="0" distR="0">
                <wp:extent cx="495300" cy="495300"/>
                <wp:effectExtent l="0" t="0" r="0" b="0"/>
                <wp:docPr id="1" name="Рисунок 1" descr="лог вуза 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ог вуза чб"/>
                        <pic:cNvPicPr>
                          <a:picLocks noChangeAspect="1" noChangeArrowheads="1"/>
                        </pic:cNvPicPr>
                      </pic:nvPicPr>
                      <pic:blipFill>
                        <a:blip r:embed="rId1"/>
                        <a:srcRect/>
                        <a:stretch>
                          <a:fillRect/>
                        </a:stretch>
                      </pic:blipFill>
                      <pic:spPr bwMode="auto">
                        <a:xfrm>
                          <a:off x="0" y="0"/>
                          <a:ext cx="495300" cy="495300"/>
                        </a:xfrm>
                        <a:prstGeom prst="rect">
                          <a:avLst/>
                        </a:prstGeom>
                        <a:noFill/>
                        <a:ln>
                          <a:noFill/>
                        </a:ln>
                      </pic:spPr>
                    </pic:pic>
                  </a:graphicData>
                </a:graphic>
              </wp:inline>
            </w:drawing>
          </w:r>
        </w:p>
      </w:tc>
      <w:tc>
        <w:tcPr>
          <w:gridSpan w:val="2"/>
          <w:vAlign w:val="center"/>
        </w:tcPr>
        <w:p>
          <w:pPr>
            <w:pStyle w:val="header"/>
          </w:pPr>
          <w:r>
            <w:rPr>
              <w:lang w:val="kk-KZ"/>
            </w:rPr>
            <w:t>Коммерциялық емес акционерлік қоғам «Д. Серікбаев атындағы Шығыс Қазақстан техникалық университеті»</w:t>
          </w:r>
        </w:p>
      </w:tc>
      <w:tc>
        <w:tcPr>
          <w:tcW w:w="1501" w:type="dxa"/>
          <w:vMerge w:val="restart"/>
          <w:vAlign w:val="center"/>
        </w:tcPr>
        <w:p>
          <w:pPr>
            <w:pStyle w:val="header"/>
          </w:pPr>
          <w:r>
            <w:fldChar w:fldCharType="begin"/>
          </w:r>
          <w:r>
            <w:instrText>PAGE</w:instrText>
          </w:r>
          <w:r>
            <w:fldChar w:fldCharType="separate"/>
          </w:r>
          <w:r>
            <w:rPr>
              <w:noProof/>
            </w:rPr>
            <w:fldChar w:fldCharType="end"/>
          </w:r>
          <w:r>
            <w:t> бет </w:t>
          </w:r>
          <w:r>
            <w:fldChar w:fldCharType="begin"/>
          </w:r>
          <w:r>
            <w:instrText>NUMPAGES</w:instrText>
          </w:r>
          <w:r>
            <w:fldChar w:fldCharType="separate"/>
          </w:r>
          <w:r>
            <w:rPr>
              <w:noProof/>
            </w:rPr>
            <w:fldChar w:fldCharType="end"/>
          </w:r>
        </w:p>
      </w:tc>
    </w:tr>
    <w:tr>
      <w:trPr>
        <w:cantSplit/>
        <w:trHeight w:val="310"/>
      </w:trPr>
      <w:tc>
        <w:tcPr>
          <w:tcW w:w="1129" w:type="dxa"/>
          <w:vMerge/>
        </w:tcPr>
        <w:p/>
      </w:tc>
      <w:tc>
        <w:tcPr>
          <w:tcW w:w="1921" w:type="dxa"/>
          <w:vAlign w:val="center"/>
        </w:tcPr>
        <w:p>
          <w:pPr>
            <w:pStyle w:val="header"/>
          </w:pPr>
          <w:r>
            <w:rPr>
              <w:lang w:val="kk-KZ"/>
            </w:rPr>
            <w:t>Интеграцияланған менеджмент жүйесі</w:t>
          </w:r>
        </w:p>
      </w:tc>
      <w:tc>
        <w:tcPr>
          <w:vAlign w:val="center"/>
        </w:tcPr>
        <w:p>
          <w:pPr>
            <w:pStyle w:val="header"/>
          </w:pPr>
          <w:r>
            <w:t>Н ШҚТУ 026-III-2024</w:t>
          </w:r>
        </w:p>
        <w:p>
          <w:pPr>
            <w:pStyle w:val="header"/>
          </w:pPr>
          <w:r>
            <w:rPr>
              <w:lang w:val="kk-KZ"/>
            </w:rPr>
            <w:t>Жұмыс оқу бөлімін әзірлеу және ресімдеу КЕАҚ-дағы «Д. Серікбаев атындағы ШҚТУ» бағдарламалар (Силлабус)</w:t>
          </w:r>
        </w:p>
      </w:tc>
      <w:tc>
        <w:tcPr>
          <w:tcW w:w="1501" w:type="dxa"/>
          <w:vMerge/>
        </w:tcPr>
        <w:p/>
      </w:tc>
    </w:tr>
  </w:tbl>
  <w:p/>
</w:hdr>
</file>

<file path=word/settings.xml><?xml version="1.0" encoding="utf-8"?>
<w:settings xmlns:w="http://schemas.openxmlformats.org/wordprocessingml/2006/main">
  <w:view w:val="print"/>
  <w:zoom w:percent="100"/>
</w:settings>
</file>

<file path=word/styles.xml><?xml version="1.0" encoding="utf-8"?>
<w:styles xmlns:w="http://schemas.openxmlformats.org/wordprocessingml/2006/main">
  <w:style w:default="true" w:type="paragraph" w:styleId="default">
    <w:pPr>
      <w:spacing w:after="0" w:line="240" w:lineRule="auto"/>
      <w:jc w:val="both"/>
    </w:pPr>
    <w:rPr>
      <w:rFonts w:ascii="Times New Roman" w:cs="Times New Roman" w:hAnsi="Times New Roman"/>
      <w:sz w:val="24"/>
    </w:rPr>
  </w:style>
  <w:style w:type="paragraph" w:styleId="title">
    <w:pPr>
      <w:jc w:val="center"/>
      <w:spacing w:after="0" w:line="240" w:lineRule="auto"/>
    </w:pPr>
    <w:rPr>
      <w:b w:val="1"/>
      <w:rFonts w:ascii="Times New Roman" w:cs="Times New Roman" w:hAnsi="Times New Roman"/>
      <w:sz w:val="22"/>
    </w:rPr>
  </w:style>
  <w:style w:type="paragraph" w:styleId="header">
    <w:pPr>
      <w:jc w:val="center"/>
      <w:spacing w:after="0" w:line="240" w:lineRule="auto"/>
    </w:pPr>
    <w:rPr>
      <w:b w:val="1"/>
      <w:rFonts w:ascii="Tahoma" w:cs="Tahoma" w:hAnsi="Tahoma"/>
      <w:sz w:val="12"/>
    </w:rPr>
  </w:style>
</w:styles>
</file>

<file path=word/_rels/document.xml.rels>&#65279;<?xml version="1.0" encoding="utf-8"?><Relationships xmlns="http://schemas.openxmlformats.org/package/2006/relationships"><Relationship Type="http://schemas.openxmlformats.org/officeDocument/2006/relationships/styles" Target="/word/styles.xml" Id="rId2" /><Relationship Type="http://schemas.openxmlformats.org/officeDocument/2006/relationships/settings" Target="/word/settings.xml" Id="rId3" /><Relationship Type="http://schemas.openxmlformats.org/officeDocument/2006/relationships/header" Target="/word/header1.xml" Id="rId20" /></Relationships>
</file>

<file path=word/_rels/header1.xml.rels>&#65279;<?xml version="1.0" encoding="utf-8"?><Relationships xmlns="http://schemas.openxmlformats.org/package/2006/relationships"><Relationship Type="http://schemas.openxmlformats.org/officeDocument/2006/relationships/image" Target="/word/media/image1.jpg" Id="rId1" /></Relationships>
</file>